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EB" w:rsidRDefault="00C724EB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81DF8" w:rsidRDefault="00081DF8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724EB" w:rsidRDefault="001D6565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ИЗВЕЩЕНИЕ</w:t>
      </w:r>
    </w:p>
    <w:p w:rsidR="00C724EB" w:rsidRPr="00081DF8" w:rsidRDefault="001D6565">
      <w:pPr>
        <w:pStyle w:val="1"/>
        <w:ind w:right="91"/>
        <w:rPr>
          <w:rFonts w:ascii="Times New Roman" w:hAnsi="Times New Roman"/>
          <w:szCs w:val="22"/>
          <w:lang w:val="ru-RU"/>
        </w:rPr>
      </w:pPr>
      <w:r w:rsidRPr="00081DF8">
        <w:rPr>
          <w:rFonts w:ascii="Times New Roman" w:hAnsi="Times New Roman"/>
          <w:bCs w:val="0"/>
          <w:szCs w:val="22"/>
          <w:lang w:val="ru-RU"/>
        </w:rPr>
        <w:t xml:space="preserve">о проведении электронного аукциона </w:t>
      </w:r>
      <w:r w:rsidRPr="00081DF8">
        <w:rPr>
          <w:rFonts w:ascii="Times New Roman" w:hAnsi="Times New Roman"/>
          <w:szCs w:val="22"/>
          <w:lang w:val="ru-RU"/>
        </w:rPr>
        <w:t>по продаже права на заключение договора аренды (годовая арендная плата) сроком на 5 (пять) лет земельного участка,</w:t>
      </w:r>
      <w:r w:rsidR="00081DF8" w:rsidRPr="00081DF8">
        <w:rPr>
          <w:rFonts w:ascii="Times New Roman" w:hAnsi="Times New Roman"/>
          <w:szCs w:val="22"/>
          <w:lang w:val="ru-RU"/>
        </w:rPr>
        <w:t xml:space="preserve"> </w:t>
      </w:r>
      <w:r w:rsidRPr="00081DF8">
        <w:rPr>
          <w:rFonts w:ascii="Times New Roman" w:hAnsi="Times New Roman"/>
          <w:szCs w:val="22"/>
          <w:lang w:val="ru-RU"/>
        </w:rPr>
        <w:t>расположенного по адресу:</w:t>
      </w:r>
    </w:p>
    <w:p w:rsidR="00081DF8" w:rsidRDefault="00081DF8">
      <w:pPr>
        <w:pStyle w:val="1"/>
        <w:ind w:right="91"/>
        <w:rPr>
          <w:rFonts w:ascii="Times New Roman" w:hAnsi="Times New Roman"/>
          <w:szCs w:val="22"/>
          <w:lang w:val="ru-RU"/>
        </w:rPr>
      </w:pPr>
      <w:r w:rsidRPr="00081DF8">
        <w:rPr>
          <w:rFonts w:ascii="Times New Roman" w:hAnsi="Times New Roman"/>
          <w:szCs w:val="22"/>
          <w:lang w:val="ru-RU"/>
        </w:rPr>
        <w:t>Российская Федерация, Костромская область, городск</w:t>
      </w:r>
      <w:r>
        <w:rPr>
          <w:rFonts w:ascii="Times New Roman" w:hAnsi="Times New Roman"/>
          <w:szCs w:val="22"/>
          <w:lang w:val="ru-RU"/>
        </w:rPr>
        <w:t>ой округ город Шарья, г. Шарья,</w:t>
      </w:r>
    </w:p>
    <w:p w:rsidR="00C724EB" w:rsidRPr="00081DF8" w:rsidRDefault="00081DF8">
      <w:pPr>
        <w:pStyle w:val="1"/>
        <w:ind w:right="91"/>
        <w:rPr>
          <w:rFonts w:ascii="Times New Roman" w:hAnsi="Times New Roman"/>
          <w:szCs w:val="22"/>
          <w:lang w:val="ru-RU"/>
        </w:rPr>
      </w:pPr>
      <w:r w:rsidRPr="00081DF8">
        <w:rPr>
          <w:rFonts w:ascii="Times New Roman" w:hAnsi="Times New Roman"/>
          <w:szCs w:val="22"/>
          <w:lang w:val="ru-RU"/>
        </w:rPr>
        <w:t xml:space="preserve">ул. </w:t>
      </w:r>
      <w:r w:rsidRPr="009A665D">
        <w:rPr>
          <w:rFonts w:ascii="Times New Roman" w:hAnsi="Times New Roman"/>
          <w:szCs w:val="22"/>
          <w:lang w:val="ru-RU"/>
        </w:rPr>
        <w:t>Ветлужская, ориентир – район дома 41</w:t>
      </w:r>
    </w:p>
    <w:p w:rsidR="00C724EB" w:rsidRDefault="00C724E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C724EB" w:rsidRDefault="001D656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Комитет по управлению муниципальным имуществом администрации городского округа город Шарья Костромской области настоящим сообщает о проведении торгов в форме электронного аукциона по продаже права на заключение договора аренды (годовая арендная плата) сроком на5 (пять) лет земельного участка: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418"/>
        <w:gridCol w:w="1701"/>
        <w:gridCol w:w="1134"/>
        <w:gridCol w:w="1134"/>
        <w:gridCol w:w="2410"/>
        <w:gridCol w:w="850"/>
        <w:gridCol w:w="1843"/>
      </w:tblGrid>
      <w:tr w:rsidR="00C724EB" w:rsidTr="00081DF8">
        <w:trPr>
          <w:trHeight w:val="675"/>
        </w:trPr>
        <w:tc>
          <w:tcPr>
            <w:tcW w:w="426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1418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Место расположения </w:t>
            </w:r>
          </w:p>
        </w:tc>
        <w:tc>
          <w:tcPr>
            <w:tcW w:w="1701" w:type="dxa"/>
            <w:noWrap/>
          </w:tcPr>
          <w:p w:rsidR="00C724EB" w:rsidRDefault="001D6565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Кадастровый </w:t>
            </w:r>
          </w:p>
          <w:p w:rsidR="00C724EB" w:rsidRDefault="001D6565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номер</w:t>
            </w:r>
          </w:p>
        </w:tc>
        <w:tc>
          <w:tcPr>
            <w:tcW w:w="1134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Площадь, кв.м.</w:t>
            </w:r>
          </w:p>
        </w:tc>
        <w:tc>
          <w:tcPr>
            <w:tcW w:w="1134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земель</w:t>
            </w:r>
          </w:p>
        </w:tc>
        <w:tc>
          <w:tcPr>
            <w:tcW w:w="2410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Разрешенное использование</w:t>
            </w:r>
          </w:p>
        </w:tc>
        <w:tc>
          <w:tcPr>
            <w:tcW w:w="850" w:type="dxa"/>
            <w:noWrap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Срок аренды</w:t>
            </w:r>
          </w:p>
        </w:tc>
        <w:tc>
          <w:tcPr>
            <w:tcW w:w="1843" w:type="dxa"/>
            <w:noWrap/>
          </w:tcPr>
          <w:p w:rsidR="00C724EB" w:rsidRDefault="001D65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Права и ограничения</w:t>
            </w:r>
          </w:p>
        </w:tc>
      </w:tr>
      <w:tr w:rsidR="00C724EB" w:rsidTr="00081DF8">
        <w:trPr>
          <w:trHeight w:val="709"/>
        </w:trPr>
        <w:tc>
          <w:tcPr>
            <w:tcW w:w="426" w:type="dxa"/>
            <w:noWrap/>
            <w:vAlign w:val="center"/>
          </w:tcPr>
          <w:p w:rsidR="00C724EB" w:rsidRDefault="001D65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noWrap/>
            <w:vAlign w:val="center"/>
          </w:tcPr>
          <w:p w:rsidR="00C724EB" w:rsidRPr="00081DF8" w:rsidRDefault="00081DF8" w:rsidP="00081DF8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081DF8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 xml:space="preserve">Российская Федерация, Костромская область, городской округ город Шарья, г. Шарья, ул. </w:t>
            </w:r>
            <w:r w:rsidRPr="00081DF8">
              <w:rPr>
                <w:rFonts w:ascii="Times New Roman" w:hAnsi="Times New Roman"/>
                <w:b w:val="0"/>
                <w:sz w:val="18"/>
                <w:szCs w:val="18"/>
              </w:rPr>
              <w:t>Ветлужская, ориентир – район дома 41</w:t>
            </w:r>
          </w:p>
        </w:tc>
        <w:tc>
          <w:tcPr>
            <w:tcW w:w="1701" w:type="dxa"/>
            <w:noWrap/>
            <w:vAlign w:val="center"/>
          </w:tcPr>
          <w:p w:rsidR="00C724EB" w:rsidRDefault="001D6565" w:rsidP="00081DF8">
            <w:pPr>
              <w:ind w:firstLine="3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44:31:03080</w:t>
            </w:r>
            <w:r w:rsidR="00081DF8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="00081DF8">
              <w:rPr>
                <w:rFonts w:ascii="Times New Roman" w:eastAsia="Calibri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noWrap/>
            <w:vAlign w:val="center"/>
          </w:tcPr>
          <w:p w:rsidR="00C724EB" w:rsidRDefault="00081D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2881</w:t>
            </w:r>
            <w:r w:rsidR="001D656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noWrap/>
            <w:vAlign w:val="center"/>
          </w:tcPr>
          <w:p w:rsidR="00C724EB" w:rsidRDefault="001D65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410" w:type="dxa"/>
            <w:noWrap/>
            <w:vAlign w:val="center"/>
          </w:tcPr>
          <w:p w:rsidR="00C724EB" w:rsidRDefault="001D65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Строительная промышленность </w:t>
            </w:r>
          </w:p>
          <w:p w:rsidR="00C724EB" w:rsidRDefault="001D6565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зоне П-1 утверждены основные виды разрешенного использования: производственная деятельность, связь, склад, целлюлозно-бумажная промышленность, деловое управление, обеспечение деятельности в области гидрометеорологии и смежных с ней областях, коммунальное обслуживание, автомобильный транспорт, служебные гаражи, хранение автотранспорта, амбулаторное ветеринарное обслуживание, обеспечение внутреннего правопорядка, трубопроводный транспорт, энергетика, объекты дорожного сервиса, легкая промышленность, научно-производственная деятельность)</w:t>
            </w:r>
          </w:p>
          <w:p w:rsidR="00C724EB" w:rsidRDefault="00C72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:rsidR="00C724EB" w:rsidRDefault="001D65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1843" w:type="dxa"/>
            <w:noWrap/>
            <w:vAlign w:val="center"/>
          </w:tcPr>
          <w:p w:rsidR="00081DF8" w:rsidRDefault="001D6565" w:rsidP="00081DF8">
            <w:pPr>
              <w:pStyle w:val="Heading1"/>
              <w:tabs>
                <w:tab w:val="left" w:pos="0"/>
                <w:tab w:val="left" w:pos="5790"/>
              </w:tabs>
              <w:spacing w:before="0"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Ограничения </w:t>
            </w:r>
          </w:p>
          <w:p w:rsidR="00081DF8" w:rsidRDefault="001D6565" w:rsidP="00081DF8">
            <w:pPr>
              <w:pStyle w:val="Heading1"/>
              <w:tabs>
                <w:tab w:val="left" w:pos="0"/>
                <w:tab w:val="left" w:pos="5790"/>
              </w:tabs>
              <w:spacing w:before="0"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81D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обременения:</w:t>
            </w:r>
          </w:p>
          <w:p w:rsidR="00C724EB" w:rsidRDefault="00081DF8" w:rsidP="00081DF8">
            <w:pPr>
              <w:pStyle w:val="Heading1"/>
              <w:tabs>
                <w:tab w:val="left" w:pos="0"/>
                <w:tab w:val="left" w:pos="5790"/>
              </w:tabs>
              <w:spacing w:before="0"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отсутствуют</w:t>
            </w:r>
          </w:p>
        </w:tc>
      </w:tr>
    </w:tbl>
    <w:p w:rsidR="00C724EB" w:rsidRDefault="00C724E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  <w:sectPr w:rsidR="00C724EB">
          <w:headerReference w:type="default" r:id="rId7"/>
          <w:pgSz w:w="11906" w:h="16838"/>
          <w:pgMar w:top="992" w:right="567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20"/>
        <w:tblW w:w="10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7244"/>
      </w:tblGrid>
      <w:tr w:rsidR="00C724EB" w:rsidTr="00F24485">
        <w:trPr>
          <w:trHeight w:val="332"/>
        </w:trPr>
        <w:tc>
          <w:tcPr>
            <w:tcW w:w="3085" w:type="dxa"/>
            <w:noWrap/>
          </w:tcPr>
          <w:p w:rsidR="00C724EB" w:rsidRDefault="001D6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Начальный размер годовой арендной платы, руб.</w:t>
            </w:r>
          </w:p>
        </w:tc>
        <w:tc>
          <w:tcPr>
            <w:tcW w:w="7244" w:type="dxa"/>
            <w:noWrap/>
          </w:tcPr>
          <w:p w:rsidR="00C724EB" w:rsidRDefault="00081DF8">
            <w:pPr>
              <w:ind w:right="7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105 000</w:t>
            </w:r>
            <w:r w:rsidR="001D65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  <w:tr w:rsidR="00C724EB" w:rsidTr="00F24485">
        <w:trPr>
          <w:trHeight w:val="429"/>
        </w:trPr>
        <w:tc>
          <w:tcPr>
            <w:tcW w:w="3085" w:type="dxa"/>
            <w:noWrap/>
          </w:tcPr>
          <w:p w:rsidR="00C724EB" w:rsidRDefault="001D6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Размер задатка, руб. (20% от начальной цены)</w:t>
            </w:r>
          </w:p>
        </w:tc>
        <w:tc>
          <w:tcPr>
            <w:tcW w:w="7244" w:type="dxa"/>
            <w:noWrap/>
          </w:tcPr>
          <w:p w:rsidR="00C724EB" w:rsidRDefault="00081D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21 000,0</w:t>
            </w:r>
          </w:p>
        </w:tc>
      </w:tr>
      <w:tr w:rsidR="00C724EB" w:rsidTr="00F24485">
        <w:trPr>
          <w:trHeight w:val="310"/>
        </w:trPr>
        <w:tc>
          <w:tcPr>
            <w:tcW w:w="3085" w:type="dxa"/>
            <w:noWrap/>
          </w:tcPr>
          <w:p w:rsidR="00C724EB" w:rsidRDefault="001D6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Шаг аукциона, руб. (3% от начальной цены)</w:t>
            </w:r>
          </w:p>
        </w:tc>
        <w:tc>
          <w:tcPr>
            <w:tcW w:w="7244" w:type="dxa"/>
            <w:noWrap/>
          </w:tcPr>
          <w:p w:rsidR="00C724EB" w:rsidRDefault="00081D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3 150,0</w:t>
            </w:r>
          </w:p>
        </w:tc>
      </w:tr>
      <w:tr w:rsidR="00C724EB" w:rsidTr="00F24485">
        <w:trPr>
          <w:trHeight w:val="1534"/>
        </w:trPr>
        <w:tc>
          <w:tcPr>
            <w:tcW w:w="3085" w:type="dxa"/>
            <w:noWrap/>
          </w:tcPr>
          <w:p w:rsidR="00C724EB" w:rsidRDefault="001D6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условия подключения (технологического присоединения)</w:t>
            </w:r>
          </w:p>
        </w:tc>
        <w:tc>
          <w:tcPr>
            <w:tcW w:w="7244" w:type="dxa"/>
            <w:noWrap/>
          </w:tcPr>
          <w:p w:rsidR="00C724EB" w:rsidRDefault="001D656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Канализация – </w:t>
            </w:r>
            <w:r>
              <w:rPr>
                <w:rFonts w:ascii="Times New Roman" w:hAnsi="Times New Roman"/>
                <w:sz w:val="22"/>
                <w:szCs w:val="22"/>
              </w:rPr>
              <w:t>отсутствует техническая возможность подключения объекта к централизованной системе водоотведения;</w:t>
            </w:r>
          </w:p>
          <w:p w:rsidR="00C724EB" w:rsidRDefault="001D656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Водоснабжение</w:t>
            </w:r>
            <w:r w:rsidR="002A5CB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="002A5CB3">
              <w:rPr>
                <w:rFonts w:ascii="Times New Roman" w:hAnsi="Times New Roman"/>
                <w:sz w:val="22"/>
                <w:szCs w:val="22"/>
              </w:rPr>
              <w:t>есть техническая возможность подключения объекта к централизованной системе холодного водоснабжения, ближайшая точка подключения к сети водоснабжения: артезианская скважина дом 58 А по ул. Свердлова, г. Шарья.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Теплоснабжение </w:t>
            </w:r>
            <w:r>
              <w:rPr>
                <w:rFonts w:ascii="Times New Roman" w:hAnsi="Times New Roman"/>
                <w:sz w:val="22"/>
                <w:szCs w:val="22"/>
              </w:rPr>
              <w:t>–  отсутствует техническая возможность подключения земельного участка к тепловым сетям, вследствие отсутствия тепловых сетей и свободной мощности в соответствующей точке подключения, обеспечивающих передачу необходимого объема ресурса;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Электроснабжени</w:t>
            </w:r>
            <w:r w:rsidRPr="002A5CB3">
              <w:rPr>
                <w:rFonts w:ascii="Times New Roman" w:hAnsi="Times New Roman"/>
                <w:b/>
                <w:sz w:val="22"/>
                <w:szCs w:val="22"/>
              </w:rPr>
              <w:t>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- возможность технологического присоединения, в том числе с учётом текущей предельной свободной мощности существующих сетей на данном земельном участке к электрическим сетям филиала ПАО «Россети Центр» - «Костромаэнерго» имеется; срок действия технических условий  не может составлять менее 2 лет и более 5 лет, срок действия определяется для каждого объекта индивидуально и указывается в технических условиях к договору технологического присоединения; в случае подачи заявки на технолог. присоединение в течении 2024 года размер платы будет определяться в соответствии с постановлением Департамента государственного регулирования цен и тарифов Костромской области от 05.12.2023 г. № 23/377;</w:t>
            </w:r>
          </w:p>
          <w:p w:rsidR="00C724EB" w:rsidRDefault="001D6565" w:rsidP="004A4BE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Газоснабжение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– имеется техническая возможность транспортировки природного газа в объеме </w:t>
            </w:r>
            <w:r w:rsidR="004A4BE0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,0 м3/ч необходимом для газоснабжения земельного участка с видом разрешенного использования в точке подключения сети газопотребления объекта капитального строительства.</w:t>
            </w:r>
          </w:p>
        </w:tc>
      </w:tr>
      <w:tr w:rsidR="00C724EB" w:rsidTr="00F24485">
        <w:trPr>
          <w:trHeight w:val="809"/>
        </w:trPr>
        <w:tc>
          <w:tcPr>
            <w:tcW w:w="3085" w:type="dxa"/>
            <w:noWrap/>
          </w:tcPr>
          <w:p w:rsidR="00C724EB" w:rsidRDefault="001D6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Допустимые параметры разрешенного строительства</w:t>
            </w:r>
          </w:p>
        </w:tc>
        <w:tc>
          <w:tcPr>
            <w:tcW w:w="7244" w:type="dxa"/>
            <w:noWrap/>
          </w:tcPr>
          <w:p w:rsidR="00C724EB" w:rsidRDefault="001D6565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Зона производственно-коммунальных объектов (П-1):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1) </w:t>
            </w:r>
            <w:r>
              <w:rPr>
                <w:rFonts w:ascii="Times New Roman" w:hAnsi="Times New Roman"/>
                <w:sz w:val="22"/>
                <w:szCs w:val="22"/>
              </w:rPr>
              <w:t>максимальный размер земельного участка - 25 га;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2) минимальный отступ от границ земельного участка - 3 м;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3) предельное количество этажей - 3 этажей;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4) максимальный процент застройки - 60 процентов.</w:t>
            </w:r>
          </w:p>
        </w:tc>
      </w:tr>
    </w:tbl>
    <w:p w:rsidR="00C724EB" w:rsidRPr="00F24485" w:rsidRDefault="00C724EB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12"/>
          <w:szCs w:val="12"/>
        </w:rPr>
      </w:pPr>
    </w:p>
    <w:p w:rsidR="00C724EB" w:rsidRDefault="001D656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Общие сведения</w:t>
      </w:r>
    </w:p>
    <w:p w:rsidR="00C724EB" w:rsidRPr="00F24485" w:rsidRDefault="00C724EB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263" w:type="dxa"/>
        <w:jc w:val="center"/>
        <w:tblInd w:w="3193" w:type="dxa"/>
        <w:tblLayout w:type="fixed"/>
        <w:tblLook w:val="00A0"/>
      </w:tblPr>
      <w:tblGrid>
        <w:gridCol w:w="455"/>
        <w:gridCol w:w="2518"/>
        <w:gridCol w:w="7290"/>
      </w:tblGrid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bookmarkStart w:id="0" w:name="_ПРИЛОЖЕНИЕ_1_(Извещение)"/>
            <w:bookmarkStart w:id="1" w:name="_ПРИЛОЖЕНИЕ_2_(Проект"/>
            <w:bookmarkEnd w:id="0"/>
            <w:bookmarkEnd w:id="1"/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Наименование</w:t>
            </w:r>
          </w:p>
          <w:p w:rsidR="00C724EB" w:rsidRDefault="001D6565">
            <w:pPr>
              <w:tabs>
                <w:tab w:val="right" w:pos="459"/>
              </w:tabs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 xml:space="preserve">пункта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ind w:right="-2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Текст пояснений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81DF8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Наименование Организатора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аукциона</w:t>
            </w:r>
            <w:r w:rsidRPr="00081DF8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, контактная информация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Комитет по управлению муниципальным имуществом администрации городского округа город Шарья Костромской области. 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Место нахождения: 157500, Костромская область, город Шарья, 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Квартал Коммуны, дом № 1, каб. № 8.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Контактный телефон: 8 (49449) 5-89-23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Факс: 8 (49449) 5-89-71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Контактное лицо: </w:t>
            </w:r>
            <w:r w:rsidR="004A4BE0">
              <w:rPr>
                <w:rFonts w:ascii="Times New Roman" w:hAnsi="Times New Roman"/>
                <w:sz w:val="22"/>
                <w:szCs w:val="22"/>
              </w:rPr>
              <w:t>Баскакова Ирина Николаевна</w:t>
            </w:r>
          </w:p>
          <w:p w:rsidR="00C724EB" w:rsidRDefault="001D656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Адрес электронной почты: </w:t>
            </w:r>
            <w:r w:rsidR="004A4BE0" w:rsidRPr="004A4BE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kumi-zem@sharya.kostroma.gov.ru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ind w:right="-141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Основания для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 w:rsidP="004A4BE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аукциона осуществляется в порядке, установленном статьями 39.11, 39.12, 39.13 Земельного кодекса Российской Федерации и на основании Решения комитета по управлению муниципальным имуществом администрации городского округа город Шарья Костромской области от </w:t>
            </w:r>
            <w:r w:rsidR="004A4BE0">
              <w:rPr>
                <w:rFonts w:ascii="Times New Roman" w:hAnsi="Times New Roman"/>
                <w:sz w:val="22"/>
                <w:szCs w:val="22"/>
              </w:rPr>
              <w:t>24</w:t>
            </w:r>
            <w:r>
              <w:rPr>
                <w:rFonts w:ascii="Times New Roman" w:hAnsi="Times New Roman"/>
                <w:sz w:val="22"/>
                <w:szCs w:val="22"/>
              </w:rPr>
              <w:t>.0</w:t>
            </w:r>
            <w:r w:rsidR="004A4BE0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.2024 года  № 1</w:t>
            </w:r>
            <w:r w:rsidR="004A4BE0">
              <w:rPr>
                <w:rFonts w:ascii="Times New Roman" w:hAnsi="Times New Roman"/>
                <w:sz w:val="22"/>
                <w:szCs w:val="22"/>
              </w:rPr>
              <w:t>68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«О проведении электронного аукциона по продаже права на заключение договора аренды (годовая арендная плата) сроком на 5 (пять) лет земельного участка, расположенного по адресу: </w:t>
            </w:r>
            <w:r w:rsidR="004A4BE0" w:rsidRPr="004A4BE0">
              <w:rPr>
                <w:rFonts w:ascii="Times New Roman" w:hAnsi="Times New Roman"/>
                <w:sz w:val="22"/>
                <w:szCs w:val="22"/>
              </w:rPr>
              <w:t>Российская Федерация, Костромская область, городской округ город Шарья, г. Шарья, ул. Ветлужская, ориентир – район дома 41</w:t>
            </w:r>
            <w:r>
              <w:rPr>
                <w:rFonts w:ascii="Times New Roman" w:hAnsi="Times New Roman"/>
                <w:sz w:val="22"/>
                <w:szCs w:val="22"/>
              </w:rPr>
              <w:t>».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Место, время, и дата проведения электронного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F24485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02 августа</w:t>
            </w:r>
            <w:r w:rsidR="001D6565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в 10 часов 00 минут по местному времени</w:t>
            </w:r>
          </w:p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>
              <w:rPr>
                <w:rFonts w:ascii="Times New Roman" w:hAnsi="Times New Roman"/>
              </w:rPr>
              <w:t>АО «Сбербанк-АСТ» (</w:t>
            </w:r>
            <w:hyperlink r:id="rId8" w:tooltip="http://utp.sberbank-ast.ru/" w:history="1">
              <w:r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Дата начала и окончания срока приема заявок, место подачи заявок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Дата начала приема заявок на участие в электронном аукционе: </w:t>
            </w:r>
          </w:p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С</w:t>
            </w:r>
            <w:r w:rsidR="004A4BE0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27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</w:t>
            </w:r>
            <w:r w:rsidR="004A4BE0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июня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08 часов 00 минут по местному времени.</w:t>
            </w:r>
          </w:p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Дата окончания срока приема заявок на участие в электронном аукционе: </w:t>
            </w:r>
          </w:p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по 2</w:t>
            </w:r>
            <w:r w:rsidR="004A4BE0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9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</w:t>
            </w:r>
            <w:r w:rsidR="004A4BE0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июля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17 часов 00 минут по местному времени.</w:t>
            </w:r>
          </w:p>
          <w:p w:rsidR="00C724EB" w:rsidRDefault="001D6565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>
              <w:rPr>
                <w:rFonts w:ascii="Times New Roman" w:hAnsi="Times New Roman"/>
              </w:rPr>
              <w:t>АО «Сбербанк-АСТ» (</w:t>
            </w:r>
            <w:hyperlink r:id="rId9" w:tooltip="http://utp.sberbank-ast.ru/" w:history="1">
              <w:r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Дата и время определения участников электронного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F24485" w:rsidP="00F24485">
            <w:pPr>
              <w:tabs>
                <w:tab w:val="left" w:pos="1030"/>
              </w:tabs>
              <w:ind w:right="61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 июля</w:t>
            </w:r>
            <w:r w:rsidR="001D6565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в 10 часов 00 минут по местному времени</w:t>
            </w:r>
            <w:r w:rsidR="001D6565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br/>
            </w:r>
            <w:r w:rsidR="001D6565"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 w:rsidR="001D6565"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 w:rsidR="001D6565">
              <w:rPr>
                <w:rFonts w:ascii="Times New Roman" w:hAnsi="Times New Roman"/>
              </w:rPr>
              <w:t>АО «Сбербанк-АСТ» (</w:t>
            </w:r>
            <w:hyperlink r:id="rId10" w:tooltip="http://utp.sberbank-ast.ru/" w:history="1">
              <w:r w:rsidR="001D6565"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 w:rsidR="001D6565">
              <w:rPr>
                <w:rFonts w:ascii="Times New Roman" w:hAnsi="Times New Roman"/>
              </w:rPr>
              <w:t>)</w:t>
            </w:r>
          </w:p>
        </w:tc>
      </w:tr>
      <w:tr w:rsidR="00C724EB">
        <w:trPr>
          <w:trHeight w:val="3285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Порядок приема заявок на участие в электронном аукционе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 w:rsidP="00F24485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      </w:r>
          </w:p>
          <w:p w:rsidR="00C724EB" w:rsidRDefault="001D6565" w:rsidP="00F24485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копии документов, удостоверяющих личность заявителя (для граждан)</w:t>
            </w:r>
          </w:p>
          <w:p w:rsidR="00C724EB" w:rsidRDefault="001D6565" w:rsidP="00F24485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C724EB" w:rsidRDefault="001D6565" w:rsidP="00F24485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документы, подтверждающие внесение задатка;</w:t>
            </w:r>
          </w:p>
          <w:p w:rsidR="00C724EB" w:rsidRDefault="001D6565" w:rsidP="00F2448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1" w:anchor="dst100346" w:tooltip="https://www.consultant.ru/document/cons_doc_LAW_436375/7705ea248eb2ec0cf267513902ed8f43cc104c97/#dst100346" w:history="1">
              <w:r>
                <w:rPr>
                  <w:rStyle w:val="ac"/>
                  <w:rFonts w:ascii="Times New Roman" w:hAnsi="Times New Roman"/>
                  <w:color w:val="1A0DAB"/>
                  <w:sz w:val="22"/>
                  <w:szCs w:val="22"/>
                </w:rPr>
                <w:t>частью 4 статьи 18</w:t>
              </w:r>
            </w:hyperlink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 Федерального закона от 24 июля 2007 года N 209-ФЗ "О развитии малого и среднего предпринимательства в Российской Федерации", заявители 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2" w:anchor="dst100339" w:tooltip="https://www.consultant.ru/document/cons_doc_LAW_436375/08b3ecbcdc9a360ad1dc314150a6328886703356/#dst100339" w:history="1">
              <w:r>
                <w:rPr>
                  <w:rStyle w:val="ac"/>
                  <w:rFonts w:ascii="Times New Roman" w:hAnsi="Times New Roman"/>
                  <w:color w:val="1A0DAB"/>
                  <w:sz w:val="22"/>
                  <w:szCs w:val="22"/>
                </w:rPr>
                <w:t>частью 5 статьи 4</w:t>
              </w:r>
            </w:hyperlink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 указанного Федерального закона.</w:t>
            </w:r>
          </w:p>
          <w:p w:rsidR="00C724EB" w:rsidRDefault="001D6565" w:rsidP="00F24485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      </w:r>
          </w:p>
        </w:tc>
      </w:tr>
      <w:tr w:rsidR="00C724EB">
        <w:trPr>
          <w:trHeight w:val="5161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ind w:right="142"/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eastAsia="en-US"/>
              </w:rPr>
              <w:t>Порядок внесения задатка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 w:rsidP="00F24485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Для участия в аукционе претендент вносит установленную сумму задатка.</w:t>
            </w:r>
          </w:p>
          <w:p w:rsidR="00C724EB" w:rsidRDefault="001D6565" w:rsidP="00F24485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Задаток вносится оператору электронной площадки по реквизитам: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ПОЛУЧАТ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ЕЛЬ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Наименование: АО</w:t>
            </w:r>
            <w:r w:rsidR="00F24485"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"Сбербанк-АСТ", ИНН:7707308480, КПП:770401001, Расчетный счет: 40702810300020038047,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БАНК ПОЛУЧАТЕЛЯ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Наименование банка: ПАО "СБЕРБАНК РОССИИ" Г. МОСКВАБИК:044525225, Корреспондентский счет: 3010181040000000000225.</w:t>
            </w:r>
          </w:p>
          <w:p w:rsidR="00C724EB" w:rsidRDefault="001D6565" w:rsidP="00F24485">
            <w:pPr>
              <w:jc w:val="both"/>
              <w:outlineLv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В назначении платежа необходимо обязательно указать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Перечисление</w:t>
            </w:r>
            <w:r w:rsidR="00F2448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денежных средств в качестве задатка (ИНН плательщика), НДС не облагается.</w:t>
            </w:r>
          </w:p>
          <w:p w:rsidR="00C724EB" w:rsidRDefault="001D6565" w:rsidP="00F24485">
            <w:pPr>
              <w:jc w:val="both"/>
              <w:outlineLv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Задаток должен поступить не позднее даты рассмотрения заявок на участие в аукционе.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br/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Денежные средства, перечисленные за участника третьим лицом, не зачисляются на счет такого участника на электронной площадке.</w:t>
            </w:r>
          </w:p>
          <w:p w:rsidR="00C724EB" w:rsidRDefault="001D6565" w:rsidP="00F24485">
            <w:pPr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Документом, подтверждающим поступление задатка претендента, является информация оператора электронной площадки о поступлении задатка.</w:t>
            </w:r>
          </w:p>
          <w:p w:rsidR="00C724EB" w:rsidRDefault="001D6565" w:rsidP="00F24485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Претенденты, задатки которых не поступили на счет оператора электронной площадки в указанный срок, к участию в аукционе не допускаются. </w:t>
            </w:r>
          </w:p>
          <w:p w:rsidR="00F24485" w:rsidRDefault="00F24485" w:rsidP="00F24485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:rsidR="00F24485" w:rsidRDefault="00F24485" w:rsidP="00F24485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8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определения участников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заявок.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Заявитель не допускается к участию в аукционе в следующих случаях: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а) непредставление необходимых для участия в аукционе документов или представление недостоверных сведений; 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</w:t>
            </w:r>
            <w:r w:rsidR="00F2448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поступление задатка на дату рассмотрения заявок на участие в аукционе;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в) подача заявки на участие в аукционе лицом, которое в соответствии с 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Земельным кодексом и другими федеральными законами не имеет права быть участником конкретного аукциона;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аукциона.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проведения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Электронный аукцион проводится на электронной площадке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>АО «Сбербанк - АСТ» </w:t>
            </w:r>
            <w:r>
              <w:rPr>
                <w:rFonts w:ascii="Times New Roman" w:hAnsi="Times New Roman"/>
                <w:sz w:val="22"/>
                <w:szCs w:val="22"/>
              </w:rPr>
              <w:t>ее оператором. Допускается взимание оператором электронной площадки с победителя электронного аукциона и иных лиц, с которыми в соответствии с пунктами 13,14,20 и 25 статьи 39.12 настоящего Кодекса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 и размере и на условиях, которые установлены Правительством Российской Федерации в соответствии с законодательством РФ. Участие участнику в процедурах в электронной форме в торговой секции «Приватизация, аренда и продажа прав» предоставляется бесплатно, согласно тарифам, размещенным на электронной площадке  https://utp.sberbank-ast.ru/AP/NBT/Tariff/0/0/0/0.</w:t>
            </w:r>
          </w:p>
          <w:p w:rsidR="00C724EB" w:rsidRDefault="001D6565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Результаты электронного аукциона оформляются протоколом, который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</w:t>
            </w:r>
          </w:p>
        </w:tc>
      </w:tr>
      <w:tr w:rsidR="00C724EB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ind w:left="-50" w:right="-114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724EB" w:rsidRDefault="001D6565">
            <w:pPr>
              <w:tabs>
                <w:tab w:val="right" w:pos="459"/>
              </w:tabs>
              <w:ind w:right="142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заключения договора аренды земельного участка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724EB" w:rsidRDefault="001D6565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результатам проведения электронного аукциона не допускается заключение договора аренды земельного участка, находящегося в государственной или муниципальной собственности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:rsidR="00C724EB" w:rsidRDefault="001D6565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Уполномоченный орган обязан в течение пяти дней со дня истечения срока, указанного ранее, направить победителю электронного аукциона или иным лица, с которыми в соответствии с пунктами 13, 14, 20 и 25 статьи 39.12 настоящего Кодекса заключается договор аренды земельного участка, подписанный проект договора аренды земельного участка.</w:t>
            </w:r>
          </w:p>
          <w:p w:rsidR="00C724EB" w:rsidRDefault="001D6565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C724EB" w:rsidRDefault="00C724EB">
            <w:pPr>
              <w:ind w:right="61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724EB" w:rsidRDefault="00C724EB">
      <w:pPr>
        <w:tabs>
          <w:tab w:val="left" w:pos="10206"/>
          <w:tab w:val="left" w:pos="10440"/>
        </w:tabs>
        <w:ind w:left="-142" w:right="-83"/>
        <w:contextualSpacing/>
        <w:rPr>
          <w:rFonts w:ascii="Times New Roman" w:hAnsi="Times New Roman"/>
          <w:sz w:val="22"/>
          <w:szCs w:val="22"/>
        </w:rPr>
      </w:pPr>
    </w:p>
    <w:p w:rsidR="00C724EB" w:rsidRDefault="00C724EB">
      <w:pPr>
        <w:keepNext/>
        <w:outlineLvl w:val="1"/>
        <w:rPr>
          <w:rFonts w:ascii="Times New Roman" w:hAnsi="Times New Roman"/>
          <w:sz w:val="22"/>
          <w:szCs w:val="22"/>
        </w:rPr>
      </w:pPr>
    </w:p>
    <w:sectPr w:rsidR="00C724EB" w:rsidSect="00C724EB">
      <w:headerReference w:type="even" r:id="rId13"/>
      <w:headerReference w:type="default" r:id="rId14"/>
      <w:pgSz w:w="11906" w:h="16838"/>
      <w:pgMar w:top="992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36C" w:rsidRDefault="0065336C">
      <w:r>
        <w:separator/>
      </w:r>
    </w:p>
  </w:endnote>
  <w:endnote w:type="continuationSeparator" w:id="1">
    <w:p w:rsidR="0065336C" w:rsidRDefault="0065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ACT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36C" w:rsidRDefault="0065336C">
      <w:r>
        <w:separator/>
      </w:r>
    </w:p>
  </w:footnote>
  <w:footnote w:type="continuationSeparator" w:id="1">
    <w:p w:rsidR="0065336C" w:rsidRDefault="00653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B" w:rsidRDefault="00C724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B" w:rsidRDefault="00D236CE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1D6565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C724EB" w:rsidRDefault="00C724EB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B" w:rsidRDefault="00C724EB">
    <w:pPr>
      <w:pStyle w:val="af8"/>
      <w:framePr w:wrap="around" w:vAnchor="text" w:hAnchor="margin" w:xAlign="center" w:y="1"/>
      <w:rPr>
        <w:rStyle w:val="afa"/>
        <w:sz w:val="24"/>
      </w:rPr>
    </w:pPr>
  </w:p>
  <w:p w:rsidR="00C724EB" w:rsidRDefault="00C724EB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04C21"/>
    <w:multiLevelType w:val="hybridMultilevel"/>
    <w:tmpl w:val="9F285BB6"/>
    <w:lvl w:ilvl="0" w:tplc="B6B031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D067B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BABC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518F9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E1453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94EC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64222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5D880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D10E3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3B1A1AC0"/>
    <w:multiLevelType w:val="hybridMultilevel"/>
    <w:tmpl w:val="B7165EC6"/>
    <w:lvl w:ilvl="0" w:tplc="68EA60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D211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A240A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FB8EE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62E27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5B0F0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EC6E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2486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08404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541A2A3E"/>
    <w:multiLevelType w:val="hybridMultilevel"/>
    <w:tmpl w:val="EF0A07D0"/>
    <w:lvl w:ilvl="0" w:tplc="1898E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63A0B34">
      <w:numFmt w:val="none"/>
      <w:lvlText w:val=""/>
      <w:lvlJc w:val="left"/>
      <w:pPr>
        <w:tabs>
          <w:tab w:val="num" w:pos="360"/>
        </w:tabs>
      </w:pPr>
    </w:lvl>
    <w:lvl w:ilvl="2" w:tplc="1F3491E4">
      <w:numFmt w:val="none"/>
      <w:lvlText w:val=""/>
      <w:lvlJc w:val="left"/>
      <w:pPr>
        <w:tabs>
          <w:tab w:val="num" w:pos="360"/>
        </w:tabs>
      </w:pPr>
    </w:lvl>
    <w:lvl w:ilvl="3" w:tplc="781C65EA">
      <w:numFmt w:val="none"/>
      <w:lvlText w:val=""/>
      <w:lvlJc w:val="left"/>
      <w:pPr>
        <w:tabs>
          <w:tab w:val="num" w:pos="360"/>
        </w:tabs>
      </w:pPr>
    </w:lvl>
    <w:lvl w:ilvl="4" w:tplc="40EAAF74">
      <w:numFmt w:val="none"/>
      <w:lvlText w:val=""/>
      <w:lvlJc w:val="left"/>
      <w:pPr>
        <w:tabs>
          <w:tab w:val="num" w:pos="360"/>
        </w:tabs>
      </w:pPr>
    </w:lvl>
    <w:lvl w:ilvl="5" w:tplc="A09AD7F8">
      <w:numFmt w:val="none"/>
      <w:lvlText w:val=""/>
      <w:lvlJc w:val="left"/>
      <w:pPr>
        <w:tabs>
          <w:tab w:val="num" w:pos="360"/>
        </w:tabs>
      </w:pPr>
    </w:lvl>
    <w:lvl w:ilvl="6" w:tplc="E3C82C78">
      <w:numFmt w:val="none"/>
      <w:lvlText w:val=""/>
      <w:lvlJc w:val="left"/>
      <w:pPr>
        <w:tabs>
          <w:tab w:val="num" w:pos="360"/>
        </w:tabs>
      </w:pPr>
    </w:lvl>
    <w:lvl w:ilvl="7" w:tplc="58820E0A">
      <w:numFmt w:val="none"/>
      <w:lvlText w:val=""/>
      <w:lvlJc w:val="left"/>
      <w:pPr>
        <w:tabs>
          <w:tab w:val="num" w:pos="360"/>
        </w:tabs>
      </w:pPr>
    </w:lvl>
    <w:lvl w:ilvl="8" w:tplc="E9E0CCB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4EB"/>
    <w:rsid w:val="00081DF8"/>
    <w:rsid w:val="001D6565"/>
    <w:rsid w:val="002A5CB3"/>
    <w:rsid w:val="004A4BE0"/>
    <w:rsid w:val="0065336C"/>
    <w:rsid w:val="009A665D"/>
    <w:rsid w:val="00C724EB"/>
    <w:rsid w:val="00D236CE"/>
    <w:rsid w:val="00F2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EB"/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724EB"/>
    <w:pPr>
      <w:keepNext/>
      <w:jc w:val="center"/>
      <w:outlineLvl w:val="0"/>
    </w:pPr>
    <w:rPr>
      <w:rFonts w:ascii="AcademyACTT" w:hAnsi="AcademyACTT"/>
      <w:b/>
      <w:bCs/>
      <w:sz w:val="22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C724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724EB"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724E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724EB"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character" w:customStyle="1" w:styleId="Heading2Char">
    <w:name w:val="Heading 2 Char"/>
    <w:link w:val="Heading2"/>
    <w:uiPriority w:val="9"/>
    <w:rsid w:val="00C724E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724EB"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724E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724EB"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724E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724EB"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character" w:customStyle="1" w:styleId="Heading5Char">
    <w:name w:val="Heading 5 Char"/>
    <w:link w:val="Heading5"/>
    <w:uiPriority w:val="9"/>
    <w:rsid w:val="00C724E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724EB"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724E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724EB"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724E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724EB"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724E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724EB"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724E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724EB"/>
    <w:pPr>
      <w:ind w:left="720"/>
      <w:contextualSpacing/>
    </w:pPr>
  </w:style>
  <w:style w:type="paragraph" w:styleId="a4">
    <w:name w:val="No Spacing"/>
    <w:uiPriority w:val="1"/>
    <w:qFormat/>
    <w:rsid w:val="00C724EB"/>
  </w:style>
  <w:style w:type="paragraph" w:styleId="a5">
    <w:name w:val="Title"/>
    <w:basedOn w:val="a"/>
    <w:next w:val="a"/>
    <w:link w:val="a6"/>
    <w:uiPriority w:val="10"/>
    <w:qFormat/>
    <w:rsid w:val="00C724E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724E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724EB"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sid w:val="00C724E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724E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724E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724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724E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724E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724EB"/>
  </w:style>
  <w:style w:type="paragraph" w:customStyle="1" w:styleId="Footer">
    <w:name w:val="Footer"/>
    <w:basedOn w:val="a"/>
    <w:link w:val="CaptionChar"/>
    <w:uiPriority w:val="99"/>
    <w:unhideWhenUsed/>
    <w:rsid w:val="00C724E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724E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724E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724EB"/>
  </w:style>
  <w:style w:type="table" w:styleId="ab">
    <w:name w:val="Table Grid"/>
    <w:uiPriority w:val="59"/>
    <w:rsid w:val="00C724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724E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724E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724E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724E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724E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724E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724E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724E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724E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724E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C724EB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724E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724EB"/>
    <w:rPr>
      <w:sz w:val="18"/>
    </w:rPr>
  </w:style>
  <w:style w:type="character" w:styleId="af">
    <w:name w:val="footnote reference"/>
    <w:uiPriority w:val="99"/>
    <w:unhideWhenUsed/>
    <w:rsid w:val="00C724E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724EB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724EB"/>
    <w:rPr>
      <w:sz w:val="20"/>
    </w:rPr>
  </w:style>
  <w:style w:type="character" w:styleId="af2">
    <w:name w:val="endnote reference"/>
    <w:uiPriority w:val="99"/>
    <w:semiHidden/>
    <w:unhideWhenUsed/>
    <w:rsid w:val="00C724E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724EB"/>
    <w:pPr>
      <w:spacing w:after="57"/>
    </w:pPr>
  </w:style>
  <w:style w:type="paragraph" w:styleId="21">
    <w:name w:val="toc 2"/>
    <w:basedOn w:val="a"/>
    <w:next w:val="a"/>
    <w:uiPriority w:val="39"/>
    <w:unhideWhenUsed/>
    <w:rsid w:val="00C724E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724E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724E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724E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724E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724E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724E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724EB"/>
    <w:pPr>
      <w:spacing w:after="57"/>
      <w:ind w:left="2268"/>
    </w:pPr>
  </w:style>
  <w:style w:type="paragraph" w:styleId="af3">
    <w:name w:val="TOC Heading"/>
    <w:uiPriority w:val="39"/>
    <w:unhideWhenUsed/>
    <w:rsid w:val="00C724EB"/>
  </w:style>
  <w:style w:type="paragraph" w:styleId="af4">
    <w:name w:val="table of figures"/>
    <w:basedOn w:val="a"/>
    <w:next w:val="a"/>
    <w:uiPriority w:val="99"/>
    <w:unhideWhenUsed/>
    <w:rsid w:val="00C724EB"/>
  </w:style>
  <w:style w:type="paragraph" w:customStyle="1" w:styleId="ConsPlusNormal">
    <w:name w:val="ConsPlusNormal"/>
    <w:link w:val="ConsPlusNormal0"/>
    <w:rsid w:val="00C724EB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2">
    <w:name w:val="Знак1"/>
    <w:basedOn w:val="a"/>
    <w:rsid w:val="00C724EB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f5">
    <w:name w:val="Body Text"/>
    <w:basedOn w:val="a"/>
    <w:rsid w:val="00C724EB"/>
    <w:pPr>
      <w:jc w:val="both"/>
    </w:pPr>
    <w:rPr>
      <w:rFonts w:ascii="Times New Roman" w:hAnsi="Times New Roman"/>
      <w:sz w:val="28"/>
      <w:lang w:eastAsia="ar-SA"/>
    </w:rPr>
  </w:style>
  <w:style w:type="paragraph" w:customStyle="1" w:styleId="210">
    <w:name w:val="Основной текст 21"/>
    <w:basedOn w:val="a"/>
    <w:rsid w:val="00C724EB"/>
    <w:pPr>
      <w:ind w:right="-908"/>
      <w:jc w:val="both"/>
    </w:pPr>
    <w:rPr>
      <w:rFonts w:ascii="Times New Roman" w:hAnsi="Times New Roman"/>
      <w:lang w:eastAsia="ar-SA"/>
    </w:rPr>
  </w:style>
  <w:style w:type="paragraph" w:customStyle="1" w:styleId="310">
    <w:name w:val="Основной текст 31"/>
    <w:basedOn w:val="a"/>
    <w:rsid w:val="00C724EB"/>
    <w:pPr>
      <w:ind w:right="-1050"/>
      <w:jc w:val="both"/>
    </w:pPr>
    <w:rPr>
      <w:rFonts w:ascii="Times New Roman" w:hAnsi="Times New Roman"/>
      <w:lang w:eastAsia="ar-SA"/>
    </w:rPr>
  </w:style>
  <w:style w:type="character" w:customStyle="1" w:styleId="30">
    <w:name w:val="Заголовок 3 Знак"/>
    <w:link w:val="3"/>
    <w:semiHidden/>
    <w:rsid w:val="00C724EB"/>
    <w:rPr>
      <w:rFonts w:ascii="Cambria" w:eastAsia="Times New Roman" w:hAnsi="Cambria" w:cs="Times New Roman"/>
      <w:b/>
      <w:bCs/>
      <w:sz w:val="26"/>
      <w:szCs w:val="26"/>
    </w:rPr>
  </w:style>
  <w:style w:type="paragraph" w:styleId="af6">
    <w:name w:val="Balloon Text"/>
    <w:basedOn w:val="a"/>
    <w:link w:val="af7"/>
    <w:rsid w:val="00C724EB"/>
    <w:rPr>
      <w:rFonts w:ascii="Tahoma" w:hAnsi="Tahoma"/>
      <w:sz w:val="16"/>
      <w:szCs w:val="16"/>
      <w:lang w:val="en-US" w:eastAsia="en-US"/>
    </w:rPr>
  </w:style>
  <w:style w:type="character" w:customStyle="1" w:styleId="af7">
    <w:name w:val="Текст выноски Знак"/>
    <w:link w:val="af6"/>
    <w:rsid w:val="00C724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724EB"/>
    <w:rPr>
      <w:rFonts w:ascii="AcademyACTT" w:hAnsi="AcademyACTT"/>
      <w:b/>
      <w:bCs/>
      <w:sz w:val="22"/>
    </w:rPr>
  </w:style>
  <w:style w:type="character" w:customStyle="1" w:styleId="ConsPlusNormal0">
    <w:name w:val="ConsPlusNormal Знак"/>
    <w:link w:val="ConsPlusNormal"/>
    <w:rsid w:val="00C724EB"/>
    <w:rPr>
      <w:rFonts w:ascii="Arial" w:hAnsi="Arial" w:cs="Arial"/>
      <w:lang w:val="ru-RU" w:eastAsia="ru-RU" w:bidi="ar-SA"/>
    </w:rPr>
  </w:style>
  <w:style w:type="paragraph" w:customStyle="1" w:styleId="western">
    <w:name w:val="western"/>
    <w:basedOn w:val="a"/>
    <w:rsid w:val="00C724EB"/>
    <w:pPr>
      <w:spacing w:before="100" w:beforeAutospacing="1" w:after="100" w:afterAutospacing="1"/>
      <w:jc w:val="both"/>
    </w:pPr>
    <w:rPr>
      <w:rFonts w:ascii="Times New Roman" w:hAnsi="Times New Roman"/>
      <w:szCs w:val="24"/>
    </w:rPr>
  </w:style>
  <w:style w:type="paragraph" w:styleId="af8">
    <w:name w:val="header"/>
    <w:basedOn w:val="a"/>
    <w:link w:val="af9"/>
    <w:rsid w:val="00C724EB"/>
    <w:pPr>
      <w:tabs>
        <w:tab w:val="center" w:pos="4677"/>
        <w:tab w:val="right" w:pos="9355"/>
      </w:tabs>
      <w:ind w:firstLine="720"/>
      <w:jc w:val="both"/>
    </w:pPr>
    <w:rPr>
      <w:rFonts w:ascii="Times New Roman" w:hAnsi="Times New Roman"/>
      <w:sz w:val="28"/>
    </w:rPr>
  </w:style>
  <w:style w:type="character" w:customStyle="1" w:styleId="af9">
    <w:name w:val="Верхний колонтитул Знак"/>
    <w:basedOn w:val="a0"/>
    <w:link w:val="af8"/>
    <w:rsid w:val="00C724EB"/>
    <w:rPr>
      <w:sz w:val="28"/>
    </w:rPr>
  </w:style>
  <w:style w:type="character" w:styleId="afa">
    <w:name w:val="page number"/>
    <w:basedOn w:val="a0"/>
    <w:rsid w:val="00C72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consultant.ru/document/cons_doc_LAW_436375/08b3ecbcdc9a360ad1dc314150a6328886703356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436375/7705ea248eb2ec0cf267513902ed8f43cc104c97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Баскакова</cp:lastModifiedBy>
  <cp:revision>2</cp:revision>
  <dcterms:created xsi:type="dcterms:W3CDTF">2024-06-24T10:55:00Z</dcterms:created>
  <dcterms:modified xsi:type="dcterms:W3CDTF">2024-06-24T10:55:00Z</dcterms:modified>
  <cp:version>786432</cp:version>
</cp:coreProperties>
</file>